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bookmarkStart w:id="4" w:name="_GoBack"/>
      <w:bookmarkEnd w:id="4"/>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RLM in NR-U</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8.1.4.9</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93 meeting in Reno, the topic of RLM in NR-U has been discussed [1]. Three options are listed to be further studied and narrow down:</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ind w:left="851" w:hanging="284"/>
              <w:rPr>
                <w:rFonts w:eastAsia="Calibri" w:cs="Times New Roman"/>
                <w:sz w:val="22"/>
                <w:szCs w:val="22"/>
                <w:vertAlign w:val="baseline"/>
                <w:lang w:val="en-GB"/>
              </w:rPr>
            </w:pPr>
            <w:r>
              <w:drawing>
                <wp:inline distT="0" distB="0" distL="114300" distR="114300">
                  <wp:extent cx="4958080" cy="1546225"/>
                  <wp:effectExtent l="0" t="0" r="1397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58080" cy="1546225"/>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this paper, we tend to discuss this issue and provide our view.</w:t>
      </w:r>
    </w:p>
    <w:p>
      <w:pPr>
        <w:pStyle w:val="28"/>
        <w:jc w:val="both"/>
        <w:rPr>
          <w:rFonts w:hint="eastAsia"/>
          <w:lang w:val="en-US" w:eastAsia="zh-CN"/>
        </w:rPr>
      </w:pPr>
      <w:r>
        <w:t>2</w:t>
      </w:r>
      <w:r>
        <w:tab/>
      </w:r>
      <w:r>
        <w:rPr>
          <w:rFonts w:hint="eastAsia"/>
          <w:lang w:val="en-US" w:eastAsia="zh-CN"/>
        </w:rPr>
        <w:t>RLM in NR-U</w:t>
      </w:r>
    </w:p>
    <w:p>
      <w:pPr>
        <w:rPr>
          <w:rFonts w:hint="eastAsia" w:eastAsia="宋体" w:cstheme="minorBidi"/>
          <w:sz w:val="22"/>
          <w:szCs w:val="22"/>
          <w:lang w:val="en-US" w:eastAsia="zh-CN" w:bidi="ar-SA"/>
        </w:rPr>
      </w:pPr>
      <w:r>
        <w:rPr>
          <w:rFonts w:hint="eastAsia" w:ascii="Times New Roman" w:hAnsi="Times New Roman" w:cstheme="minorBidi"/>
          <w:sz w:val="22"/>
          <w:szCs w:val="22"/>
          <w:lang w:val="en-US" w:eastAsia="zh-CN" w:bidi="ar-SA"/>
        </w:rPr>
        <w:t>I</w:t>
      </w:r>
      <w:r>
        <w:rPr>
          <w:rFonts w:hint="eastAsia" w:ascii="Times New Roman" w:hAnsi="Times New Roman" w:eastAsia="宋体" w:cstheme="minorBidi"/>
          <w:sz w:val="22"/>
          <w:szCs w:val="22"/>
          <w:lang w:val="en-US" w:eastAsia="zh-CN" w:bidi="ar-SA"/>
        </w:rPr>
        <w:t>n several previous meetings, the issue of RLM in NR-U has been discussed. Some agreements were</w:t>
      </w:r>
      <w:r>
        <w:rPr>
          <w:rFonts w:hint="eastAsia" w:ascii="Times New Roman" w:hAnsi="Times New Roman" w:cstheme="minorBidi"/>
          <w:sz w:val="22"/>
          <w:szCs w:val="22"/>
          <w:lang w:val="en-US" w:eastAsia="zh-CN" w:bidi="ar-SA"/>
        </w:rPr>
        <w:t xml:space="preserve"> </w:t>
      </w:r>
      <w:r>
        <w:rPr>
          <w:rFonts w:hint="eastAsia" w:ascii="Times New Roman" w:hAnsi="Times New Roman" w:eastAsia="宋体" w:cstheme="minorBidi"/>
          <w:sz w:val="22"/>
          <w:szCs w:val="22"/>
          <w:lang w:val="en-US" w:eastAsia="zh-CN" w:bidi="ar-SA"/>
        </w:rPr>
        <w:t xml:space="preserve">reached, for example to extend the evaluation period of </w:t>
      </w:r>
      <w:r>
        <w:rPr>
          <w:rFonts w:hint="eastAsia" w:eastAsia="宋体" w:cstheme="minorBidi"/>
          <w:sz w:val="22"/>
          <w:szCs w:val="22"/>
          <w:lang w:val="en-US" w:eastAsia="zh-CN" w:bidi="ar-SA"/>
        </w:rPr>
        <w:t>RLM in-sync, BFD and CBD, etc. Those agreements were based on counting the number of missed SSB or DRS occasions.</w:t>
      </w:r>
    </w:p>
    <w:p>
      <w:pPr>
        <w:rPr>
          <w:rFonts w:hint="eastAsia" w:eastAsia="宋体" w:cstheme="minorBidi"/>
          <w:sz w:val="22"/>
          <w:szCs w:val="22"/>
          <w:lang w:val="en-US" w:eastAsia="zh-CN" w:bidi="ar-SA"/>
        </w:rPr>
      </w:pPr>
      <w:r>
        <w:rPr>
          <w:rFonts w:hint="eastAsia" w:eastAsia="宋体" w:cstheme="minorBidi"/>
          <w:b/>
          <w:bCs/>
          <w:sz w:val="22"/>
          <w:szCs w:val="22"/>
          <w:lang w:val="en-US" w:eastAsia="zh-CN" w:bidi="ar-SA"/>
        </w:rPr>
        <w:t xml:space="preserve">Observation 1: </w:t>
      </w:r>
      <w:r>
        <w:rPr>
          <w:rFonts w:hint="eastAsia" w:eastAsia="宋体" w:cstheme="minorBidi"/>
          <w:sz w:val="22"/>
          <w:szCs w:val="22"/>
          <w:lang w:val="en-US" w:eastAsia="zh-CN" w:bidi="ar-SA"/>
        </w:rPr>
        <w:t>The previous agreements on extension of RLM evaluations periods are based on counting the number of missed SSB or DRS occasions.</w:t>
      </w:r>
    </w:p>
    <w:p>
      <w:pPr>
        <w:rPr>
          <w:rFonts w:hint="default" w:eastAsia="宋体" w:cstheme="minorBidi"/>
          <w:sz w:val="22"/>
          <w:szCs w:val="22"/>
          <w:lang w:val="en-US" w:eastAsia="zh-CN" w:bidi="ar-SA"/>
        </w:rPr>
      </w:pPr>
      <w:r>
        <w:rPr>
          <w:rFonts w:hint="eastAsia" w:eastAsia="宋体" w:cstheme="minorBidi"/>
          <w:sz w:val="22"/>
          <w:szCs w:val="22"/>
          <w:lang w:val="en-US" w:eastAsia="zh-CN" w:bidi="ar-SA"/>
        </w:rPr>
        <w:t>Here we should note that it</w:t>
      </w:r>
      <w:r>
        <w:rPr>
          <w:rFonts w:hint="default" w:eastAsia="宋体" w:cstheme="minorBidi"/>
          <w:sz w:val="22"/>
          <w:szCs w:val="22"/>
          <w:lang w:val="en-US" w:eastAsia="zh-CN" w:bidi="ar-SA"/>
        </w:rPr>
        <w:t>’</w:t>
      </w:r>
      <w:r>
        <w:rPr>
          <w:rFonts w:hint="eastAsia" w:eastAsia="宋体" w:cstheme="minorBidi"/>
          <w:sz w:val="22"/>
          <w:szCs w:val="22"/>
          <w:lang w:val="en-US" w:eastAsia="zh-CN" w:bidi="ar-SA"/>
        </w:rPr>
        <w:t>s RAN1 agreement (copied below) that the serving cell might transmit QCLed SSBs under NR-U scenario, to compensate to the loss of transmission opportunities by DL LBT failure.</w:t>
      </w:r>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tcPr>
          <w:p>
            <w:r>
              <w:rPr>
                <w:highlight w:val="green"/>
              </w:rPr>
              <w:t>Agreement:</w:t>
            </w:r>
          </w:p>
          <w:p>
            <w:pPr>
              <w:pStyle w:val="26"/>
              <w:spacing w:line="288" w:lineRule="auto"/>
              <w:ind w:left="0"/>
              <w:rPr>
                <w:lang w:eastAsia="ja-JP"/>
              </w:rPr>
            </w:pPr>
            <w:r>
              <w:t xml:space="preserve">For a serving cell, </w:t>
            </w:r>
            <w:r>
              <w:rPr>
                <w:lang w:eastAsia="ja-JP"/>
              </w:rPr>
              <w:t>UE may assume a QCL relation between SS/PBCH blocks which are detected across DRS transmission windows and have the same value of modulo(A, Q), once Q is known to the UE</w:t>
            </w:r>
          </w:p>
          <w:p>
            <w:pPr>
              <w:pStyle w:val="26"/>
              <w:numPr>
                <w:ilvl w:val="0"/>
                <w:numId w:val="6"/>
              </w:numPr>
              <w:spacing w:after="0" w:line="288" w:lineRule="auto"/>
              <w:rPr>
                <w:lang w:eastAsia="ja-JP"/>
              </w:rPr>
            </w:pPr>
            <w:r>
              <w:rPr>
                <w:lang w:eastAsia="ja-JP"/>
              </w:rPr>
              <w:t xml:space="preserve">FFS: </w:t>
            </w:r>
            <w:r>
              <w:rPr>
                <w:highlight w:val="none"/>
                <w:lang w:eastAsia="ja-JP"/>
              </w:rPr>
              <w:t xml:space="preserve">A is the SSB candidate position index </w:t>
            </w:r>
            <w:r>
              <w:rPr>
                <w:lang w:eastAsia="ja-JP"/>
              </w:rPr>
              <w:t>and/or PBCH DMRS sequence index</w:t>
            </w:r>
          </w:p>
          <w:p>
            <w:pPr>
              <w:pStyle w:val="26"/>
              <w:numPr>
                <w:ilvl w:val="0"/>
                <w:numId w:val="6"/>
              </w:numPr>
              <w:spacing w:after="0" w:line="288" w:lineRule="auto"/>
              <w:rPr>
                <w:lang w:eastAsia="ja-JP"/>
              </w:rPr>
            </w:pPr>
            <w:r>
              <w:rPr>
                <w:lang w:eastAsia="ja-JP"/>
              </w:rPr>
              <w:t xml:space="preserve">FFS: How Q is indicated or determined </w:t>
            </w:r>
          </w:p>
          <w:p>
            <w:pPr>
              <w:pStyle w:val="26"/>
              <w:numPr>
                <w:ilvl w:val="0"/>
                <w:numId w:val="6"/>
              </w:numPr>
              <w:spacing w:after="0" w:line="288" w:lineRule="auto"/>
              <w:rPr>
                <w:lang w:eastAsia="ja-JP"/>
              </w:rPr>
            </w:pPr>
            <w:r>
              <w:t>FFS: Restriction on the range of Q.</w:t>
            </w:r>
          </w:p>
          <w:p>
            <w:pPr>
              <w:pStyle w:val="26"/>
              <w:spacing w:line="288" w:lineRule="auto"/>
              <w:ind w:left="0"/>
              <w:rPr>
                <w:lang w:eastAsia="zh-CN"/>
              </w:rPr>
            </w:pPr>
            <w:r>
              <w:t>Note: Neighbor cell RRM measurements will be addressed separately</w:t>
            </w:r>
          </w:p>
        </w:tc>
      </w:tr>
    </w:tbl>
    <w:p>
      <w:pPr>
        <w:rPr>
          <w:rFonts w:hint="default" w:eastAsia="宋体" w:cstheme="minorBidi"/>
          <w:sz w:val="22"/>
          <w:szCs w:val="22"/>
          <w:lang w:val="en-US" w:eastAsia="zh-CN" w:bidi="ar-SA"/>
        </w:rPr>
      </w:pPr>
      <w:r>
        <w:rPr>
          <w:rFonts w:hint="eastAsia" w:eastAsia="宋体" w:cstheme="minorBidi"/>
          <w:sz w:val="22"/>
          <w:szCs w:val="22"/>
          <w:lang w:val="en-US" w:eastAsia="zh-CN" w:bidi="ar-SA"/>
        </w:rPr>
        <w:t>Based on this agreement and other RAN4 discussions, we think that all SSBs shall be monitored. The reasons are two-fold. One is that if the UE doesn</w:t>
      </w:r>
      <w:r>
        <w:rPr>
          <w:rFonts w:hint="default" w:eastAsia="宋体" w:cstheme="minorBidi"/>
          <w:sz w:val="22"/>
          <w:szCs w:val="22"/>
          <w:lang w:val="en-US" w:eastAsia="zh-CN" w:bidi="ar-SA"/>
        </w:rPr>
        <w:t>’</w:t>
      </w:r>
      <w:r>
        <w:rPr>
          <w:rFonts w:hint="eastAsia" w:eastAsia="宋体" w:cstheme="minorBidi"/>
          <w:sz w:val="22"/>
          <w:szCs w:val="22"/>
          <w:lang w:val="en-US" w:eastAsia="zh-CN" w:bidi="ar-SA"/>
        </w:rPr>
        <w:t>t monitor all SSBs (especially the ones which belong to the configured RLM-RS), it</w:t>
      </w:r>
      <w:r>
        <w:rPr>
          <w:rFonts w:hint="default" w:eastAsia="宋体" w:cstheme="minorBidi"/>
          <w:sz w:val="22"/>
          <w:szCs w:val="22"/>
          <w:lang w:val="en-US" w:eastAsia="zh-CN" w:bidi="ar-SA"/>
        </w:rPr>
        <w:t>’</w:t>
      </w:r>
      <w:r>
        <w:rPr>
          <w:rFonts w:hint="eastAsia" w:eastAsia="宋体" w:cstheme="minorBidi"/>
          <w:sz w:val="22"/>
          <w:szCs w:val="22"/>
          <w:lang w:val="en-US" w:eastAsia="zh-CN" w:bidi="ar-SA"/>
        </w:rPr>
        <w:t>s hard to define the number of missed SSBs, on which all the extension of evaluation period relies. The other is that under NR-U, the channel condition is naturally unpredictable. To compensate that negative impact, RAN1 supports the mechanism for the serving cell to transmit on multiple SSB positions, increasing the chance for a UE to successfully receive SSBs. If the UE is not mendated to monitor all SSBs, then it might be harder for RLM to be carried on because some SSBs are already missing due to DL LBT failure. In our view, UE should try to utilize every possible chance to successfully receive SSB, which requires the UE to keep monitoring all SSBs regardless of QCL information.</w:t>
      </w:r>
    </w:p>
    <w:p>
      <w:pPr>
        <w:pStyle w:val="36"/>
        <w:rPr>
          <w:rFonts w:hint="default"/>
          <w:sz w:val="22"/>
          <w:szCs w:val="22"/>
          <w:lang w:val="en-US" w:eastAsia="zh-CN"/>
        </w:rPr>
      </w:pPr>
      <w:r>
        <w:rPr>
          <w:rFonts w:hint="eastAsia" w:eastAsia="宋体" w:cstheme="minorBidi"/>
          <w:sz w:val="22"/>
          <w:szCs w:val="22"/>
          <w:lang w:val="en-US" w:eastAsia="zh-CN" w:bidi="ar-SA"/>
        </w:rPr>
        <w:t>UE shall monitor all SSBs regardless of QCL information</w:t>
      </w:r>
      <w:r>
        <w:rPr>
          <w:rFonts w:hint="eastAsia" w:eastAsia="宋体" w:cs="v4.2.0"/>
          <w:sz w:val="22"/>
          <w:szCs w:val="22"/>
          <w:vertAlign w:val="baseline"/>
          <w:lang w:val="en-US" w:eastAsia="zh-CN"/>
        </w:rPr>
        <w:t>.</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As a matter of fact, we don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think the three options have much difference. According to RAN1 agreement in RAN1 99:</w:t>
      </w:r>
    </w:p>
    <w:tbl>
      <w:tblPr>
        <w:tblStyle w:val="2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tcPr>
          <w:p>
            <w:pPr>
              <w:pStyle w:val="17"/>
              <w:keepNext w:val="0"/>
              <w:keepLines w:val="0"/>
              <w:widowControl/>
              <w:suppressLineNumbers w:val="0"/>
              <w:shd w:val="clear" w:fill="FFFFFF"/>
              <w:spacing w:before="0" w:beforeAutospacing="0" w:after="195" w:afterAutospacing="0" w:line="239" w:lineRule="atLeast"/>
              <w:ind w:left="0" w:right="0" w:firstLine="0"/>
              <w:jc w:val="both"/>
              <w:rPr>
                <w:rFonts w:hint="eastAsia" w:ascii="Times New Roman" w:hAnsi="Times New Roman" w:eastAsiaTheme="minorHAnsi" w:cstheme="minorBidi"/>
                <w:kern w:val="0"/>
                <w:sz w:val="20"/>
                <w:szCs w:val="22"/>
                <w:highlight w:val="green"/>
                <w:lang w:val="en-US" w:eastAsia="en-US" w:bidi="ar-SA"/>
              </w:rPr>
            </w:pPr>
            <w:r>
              <w:rPr>
                <w:rFonts w:hint="default" w:ascii="Times New Roman" w:hAnsi="Times New Roman" w:eastAsiaTheme="minorHAnsi" w:cstheme="minorBidi"/>
                <w:kern w:val="0"/>
                <w:sz w:val="20"/>
                <w:szCs w:val="22"/>
                <w:highlight w:val="green"/>
                <w:lang w:val="en-US" w:eastAsia="en-US" w:bidi="ar-SA"/>
              </w:rPr>
              <w:t>Agreement:</w:t>
            </w:r>
          </w:p>
          <w:p>
            <w:pPr>
              <w:pStyle w:val="17"/>
              <w:keepNext w:val="0"/>
              <w:keepLines w:val="0"/>
              <w:widowControl/>
              <w:suppressLineNumbers w:val="0"/>
              <w:shd w:val="clear" w:fill="FFFFFF"/>
              <w:spacing w:before="0" w:beforeAutospacing="0" w:after="195" w:afterAutospacing="0" w:line="239" w:lineRule="atLeast"/>
              <w:ind w:left="0" w:right="0" w:firstLine="0"/>
              <w:jc w:val="both"/>
              <w:rPr>
                <w:rFonts w:hint="eastAsia" w:eastAsia="宋体"/>
                <w:lang w:val="en-US" w:eastAsia="zh-CN"/>
              </w:rPr>
            </w:pPr>
            <w:r>
              <w:rPr>
                <w:rFonts w:hint="default" w:ascii="Times New Roman" w:hAnsi="Times New Roman" w:eastAsiaTheme="minorHAnsi" w:cstheme="minorBidi"/>
                <w:kern w:val="0"/>
                <w:sz w:val="20"/>
                <w:szCs w:val="22"/>
                <w:lang w:val="en-US" w:eastAsia="en-US" w:bidi="ar-SA"/>
              </w:rPr>
              <w:t>From a UE’s perspective, the number of transmitted SSBs within a DRS transmission window is not larger than Q</w:t>
            </w:r>
            <w:r>
              <w:rPr>
                <w:rFonts w:hint="eastAsia" w:eastAsia="宋体" w:cstheme="minorBidi"/>
                <w:kern w:val="0"/>
                <w:sz w:val="20"/>
                <w:szCs w:val="22"/>
                <w:lang w:val="en-US" w:eastAsia="zh-CN" w:bidi="ar-SA"/>
              </w:rPr>
              <w:t>.</w:t>
            </w:r>
          </w:p>
        </w:tc>
      </w:tr>
    </w:tbl>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This means that although how the gNB transmits SSB is up to network implementation, but it makes more sense to transmit Q SSBs on Q beams, which means it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s not very likely for the UE to receive more than one QCLed SSBs. In this case, all three options from last meeting are more or less the same.</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As to another pending issue of how to extend the OOS evaluation period, we suggest to do it the same way as other measurements / evaluations, which is based on counting unavailable SSBs using L</w:t>
      </w:r>
      <w:r>
        <w:rPr>
          <w:rFonts w:hint="eastAsia" w:eastAsia="宋体" w:cs="v4.2.0"/>
          <w:sz w:val="22"/>
          <w:szCs w:val="22"/>
          <w:vertAlign w:val="subscript"/>
          <w:lang w:val="en-US" w:eastAsia="zh-CN"/>
        </w:rPr>
        <w:t>out</w:t>
      </w:r>
      <w:r>
        <w:rPr>
          <w:rFonts w:hint="eastAsia" w:eastAsia="宋体" w:cs="v4.2.0"/>
          <w:sz w:val="22"/>
          <w:szCs w:val="22"/>
          <w:vertAlign w:val="baseline"/>
          <w:lang w:val="en-US" w:eastAsia="zh-CN"/>
        </w:rPr>
        <w:t>. The exact value of L</w:t>
      </w:r>
      <w:r>
        <w:rPr>
          <w:rFonts w:hint="eastAsia" w:eastAsia="宋体" w:cs="v4.2.0"/>
          <w:sz w:val="22"/>
          <w:szCs w:val="22"/>
          <w:vertAlign w:val="subscript"/>
          <w:lang w:val="en-US" w:eastAsia="zh-CN"/>
        </w:rPr>
        <w:t xml:space="preserve">out </w:t>
      </w:r>
      <w:r>
        <w:rPr>
          <w:rFonts w:hint="eastAsia" w:eastAsia="宋体" w:cs="v4.2.0"/>
          <w:sz w:val="22"/>
          <w:szCs w:val="22"/>
          <w:vertAlign w:val="baseline"/>
          <w:lang w:val="en-US" w:eastAsia="zh-CN"/>
        </w:rPr>
        <w:t>shall be further studied.</w:t>
      </w:r>
    </w:p>
    <w:p>
      <w:pPr>
        <w:pStyle w:val="36"/>
        <w:rPr>
          <w:rFonts w:hint="default" w:eastAsia="宋体" w:cs="v4.2.0"/>
          <w:sz w:val="22"/>
          <w:szCs w:val="22"/>
          <w:vertAlign w:val="baseline"/>
          <w:lang w:val="en-US" w:eastAsia="zh-CN"/>
        </w:rPr>
      </w:pPr>
      <w:r>
        <w:rPr>
          <w:rFonts w:hint="eastAsia" w:eastAsia="宋体" w:cstheme="minorBidi"/>
          <w:sz w:val="22"/>
          <w:szCs w:val="22"/>
          <w:lang w:val="en-US" w:eastAsia="zh-CN" w:bidi="ar-SA"/>
        </w:rPr>
        <w:t>T</w:t>
      </w:r>
      <w:r>
        <w:rPr>
          <w:rFonts w:hint="eastAsia" w:eastAsia="宋体" w:cs="v4.2.0"/>
          <w:sz w:val="22"/>
          <w:szCs w:val="22"/>
          <w:vertAlign w:val="baseline"/>
          <w:lang w:val="en-US" w:eastAsia="zh-CN"/>
        </w:rPr>
        <w:t>he OOS evaluation period shall be extended based on unavailable SSBs (L</w:t>
      </w:r>
      <w:r>
        <w:rPr>
          <w:rFonts w:hint="eastAsia" w:eastAsia="宋体" w:cs="v4.2.0"/>
          <w:sz w:val="22"/>
          <w:szCs w:val="22"/>
          <w:vertAlign w:val="subscript"/>
          <w:lang w:val="en-US" w:eastAsia="zh-CN"/>
        </w:rPr>
        <w:t>out</w:t>
      </w:r>
      <w:r>
        <w:rPr>
          <w:rFonts w:hint="eastAsia" w:eastAsia="宋体" w:cs="v4.2.0"/>
          <w:sz w:val="22"/>
          <w:szCs w:val="22"/>
          <w:vertAlign w:val="baseline"/>
          <w:lang w:val="en-US" w:eastAsia="zh-CN"/>
        </w:rPr>
        <w:t>).</w:t>
      </w:r>
    </w:p>
    <w:p>
      <w:pPr>
        <w:pStyle w:val="28"/>
        <w:jc w:val="both"/>
      </w:pPr>
      <w:r>
        <w:rPr>
          <w:rFonts w:hint="eastAsia"/>
          <w:lang w:val="en-US" w:eastAsia="zh-CN"/>
        </w:rPr>
        <w:t>3</w:t>
      </w:r>
      <w:r>
        <w:tab/>
      </w:r>
      <w:r>
        <w:t>Conclusion</w:t>
      </w:r>
    </w:p>
    <w:p>
      <w:pPr>
        <w:pStyle w:val="40"/>
        <w:numPr>
          <w:ilvl w:val="0"/>
          <w:numId w:val="7"/>
        </w:numPr>
        <w:rPr>
          <w:sz w:val="22"/>
          <w:szCs w:val="22"/>
        </w:rPr>
      </w:pPr>
      <w:r>
        <w:rPr>
          <w:rFonts w:hint="eastAsia" w:eastAsia="宋体" w:cstheme="minorBidi"/>
          <w:sz w:val="22"/>
          <w:szCs w:val="22"/>
          <w:lang w:val="en-US" w:eastAsia="zh-CN" w:bidi="ar-SA"/>
        </w:rPr>
        <w:t>The previous agreements on extension of RLM evaluations periods are based on counting the number of missed SSB or DRS occasions</w:t>
      </w:r>
      <w:r>
        <w:rPr>
          <w:rFonts w:hint="eastAsia" w:eastAsia="宋体"/>
          <w:sz w:val="22"/>
          <w:szCs w:val="22"/>
          <w:lang w:val="en-US" w:eastAsia="zh-CN"/>
        </w:rPr>
        <w:t>.</w:t>
      </w:r>
    </w:p>
    <w:p>
      <w:pPr>
        <w:pStyle w:val="36"/>
        <w:numPr>
          <w:ilvl w:val="0"/>
          <w:numId w:val="0"/>
        </w:numPr>
        <w:ind w:leftChars="0"/>
        <w:rPr>
          <w:rFonts w:hint="eastAsia"/>
          <w:sz w:val="22"/>
          <w:szCs w:val="22"/>
          <w:lang w:val="en-US" w:eastAsia="zh-CN"/>
        </w:rPr>
      </w:pPr>
      <w:r>
        <w:rPr>
          <w:rFonts w:hint="eastAsia"/>
          <w:sz w:val="22"/>
          <w:szCs w:val="22"/>
          <w:lang w:val="en-US" w:eastAsia="zh-CN"/>
        </w:rPr>
        <w:t xml:space="preserve">Proposal 1: </w:t>
      </w:r>
      <w:r>
        <w:rPr>
          <w:rFonts w:hint="eastAsia" w:eastAsia="宋体" w:cstheme="minorBidi"/>
          <w:sz w:val="22"/>
          <w:szCs w:val="22"/>
          <w:lang w:val="en-US" w:eastAsia="zh-CN" w:bidi="ar-SA"/>
        </w:rPr>
        <w:t>UE shall monitor all SSBs regardless of QCL information</w:t>
      </w:r>
      <w:r>
        <w:rPr>
          <w:rFonts w:hint="eastAsia"/>
          <w:sz w:val="22"/>
          <w:szCs w:val="22"/>
          <w:lang w:val="en-US" w:eastAsia="zh-CN"/>
        </w:rPr>
        <w:t>.</w:t>
      </w:r>
    </w:p>
    <w:p>
      <w:pPr>
        <w:pStyle w:val="36"/>
        <w:numPr>
          <w:ilvl w:val="0"/>
          <w:numId w:val="0"/>
        </w:numPr>
        <w:ind w:leftChars="0"/>
      </w:pPr>
      <w:r>
        <w:rPr>
          <w:rFonts w:hint="eastAsia"/>
          <w:sz w:val="22"/>
          <w:szCs w:val="22"/>
          <w:lang w:val="en-US" w:eastAsia="zh-CN"/>
        </w:rPr>
        <w:t xml:space="preserve">Proposal 2: </w:t>
      </w:r>
      <w:r>
        <w:rPr>
          <w:rFonts w:hint="eastAsia" w:eastAsia="宋体" w:cstheme="minorBidi"/>
          <w:sz w:val="22"/>
          <w:szCs w:val="22"/>
          <w:lang w:val="en-US" w:eastAsia="zh-CN" w:bidi="ar-SA"/>
        </w:rPr>
        <w:t>T</w:t>
      </w:r>
      <w:r>
        <w:rPr>
          <w:rFonts w:hint="eastAsia" w:eastAsia="宋体" w:cs="v4.2.0"/>
          <w:sz w:val="22"/>
          <w:szCs w:val="22"/>
          <w:vertAlign w:val="baseline"/>
          <w:lang w:val="en-US" w:eastAsia="zh-CN"/>
        </w:rPr>
        <w:t>he OOS evaluation period shall be extended based on unavailable SSBs (L</w:t>
      </w:r>
      <w:r>
        <w:rPr>
          <w:rFonts w:hint="eastAsia" w:eastAsia="宋体" w:cs="v4.2.0"/>
          <w:sz w:val="22"/>
          <w:szCs w:val="22"/>
          <w:vertAlign w:val="subscript"/>
          <w:lang w:val="en-US" w:eastAsia="zh-CN"/>
        </w:rPr>
        <w:t>out</w:t>
      </w:r>
      <w:r>
        <w:rPr>
          <w:rFonts w:hint="eastAsia" w:eastAsia="宋体" w:cs="v4.2.0"/>
          <w:sz w:val="22"/>
          <w:szCs w:val="22"/>
          <w:vertAlign w:val="baseline"/>
          <w:lang w:val="en-US" w:eastAsia="zh-CN"/>
        </w:rPr>
        <w:t>).</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R4-1915777, WF on RRM Requirements for NR-U</w:t>
      </w:r>
      <w:r>
        <w:rPr>
          <w:lang w:val="en-GB"/>
        </w:rPr>
        <w:t>.</w:t>
      </w:r>
      <w:bookmarkEnd w:id="3"/>
      <w:r>
        <w:rPr>
          <w:lang w:val="en-GB"/>
        </w:rPr>
        <w:t xml:space="preserve"> </w:t>
      </w:r>
    </w:p>
    <w:p>
      <w:pPr>
        <w:numPr>
          <w:ilvl w:val="0"/>
          <w:numId w:val="8"/>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9190696"/>
    <w:multiLevelType w:val="multilevel"/>
    <w:tmpl w:val="191906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63678"/>
    <w:rsid w:val="0868025F"/>
    <w:rsid w:val="0873226E"/>
    <w:rsid w:val="08935729"/>
    <w:rsid w:val="08BE1B81"/>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DFD5E7B"/>
    <w:rsid w:val="0E1C586B"/>
    <w:rsid w:val="0E5237AB"/>
    <w:rsid w:val="0ED138E6"/>
    <w:rsid w:val="0EED584B"/>
    <w:rsid w:val="0F67780F"/>
    <w:rsid w:val="0F8F3C2A"/>
    <w:rsid w:val="0FB648CB"/>
    <w:rsid w:val="0FD0731A"/>
    <w:rsid w:val="0FF1533A"/>
    <w:rsid w:val="0FFE0AFA"/>
    <w:rsid w:val="100578DD"/>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70A55AB"/>
    <w:rsid w:val="17141F2D"/>
    <w:rsid w:val="17A076C4"/>
    <w:rsid w:val="17A62BCE"/>
    <w:rsid w:val="17E826AB"/>
    <w:rsid w:val="186E3DFF"/>
    <w:rsid w:val="18D3414F"/>
    <w:rsid w:val="18D91924"/>
    <w:rsid w:val="18E7333F"/>
    <w:rsid w:val="19A96435"/>
    <w:rsid w:val="1A0B3A21"/>
    <w:rsid w:val="1B3329B5"/>
    <w:rsid w:val="1B7F155B"/>
    <w:rsid w:val="1BEE71E3"/>
    <w:rsid w:val="1C1448F9"/>
    <w:rsid w:val="1C3D6DD1"/>
    <w:rsid w:val="1C6A6128"/>
    <w:rsid w:val="1D1F1294"/>
    <w:rsid w:val="1D3267EF"/>
    <w:rsid w:val="1E8806BC"/>
    <w:rsid w:val="1EA137E3"/>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514077"/>
    <w:rsid w:val="23855295"/>
    <w:rsid w:val="23B20773"/>
    <w:rsid w:val="23CF6D67"/>
    <w:rsid w:val="244A4DE5"/>
    <w:rsid w:val="248F188B"/>
    <w:rsid w:val="24E91488"/>
    <w:rsid w:val="24FC3902"/>
    <w:rsid w:val="25077EC5"/>
    <w:rsid w:val="25151459"/>
    <w:rsid w:val="25962669"/>
    <w:rsid w:val="25C20278"/>
    <w:rsid w:val="262D62D9"/>
    <w:rsid w:val="26681CAB"/>
    <w:rsid w:val="267E5FCE"/>
    <w:rsid w:val="274858B7"/>
    <w:rsid w:val="27572E0B"/>
    <w:rsid w:val="280C272A"/>
    <w:rsid w:val="28352D10"/>
    <w:rsid w:val="284E0592"/>
    <w:rsid w:val="284E33F7"/>
    <w:rsid w:val="287A3770"/>
    <w:rsid w:val="28D15232"/>
    <w:rsid w:val="291D6A72"/>
    <w:rsid w:val="293606FA"/>
    <w:rsid w:val="29517179"/>
    <w:rsid w:val="29E7086A"/>
    <w:rsid w:val="2A1219AD"/>
    <w:rsid w:val="2A394321"/>
    <w:rsid w:val="2AE26D3F"/>
    <w:rsid w:val="2AF8774D"/>
    <w:rsid w:val="2B0F6E62"/>
    <w:rsid w:val="2B1014DB"/>
    <w:rsid w:val="2B4E55E6"/>
    <w:rsid w:val="2B7579C5"/>
    <w:rsid w:val="2BB04900"/>
    <w:rsid w:val="2BCD64C2"/>
    <w:rsid w:val="2C3A3275"/>
    <w:rsid w:val="2C495744"/>
    <w:rsid w:val="2CAF041D"/>
    <w:rsid w:val="2CEE6B8D"/>
    <w:rsid w:val="2D0F62B6"/>
    <w:rsid w:val="2D233DAE"/>
    <w:rsid w:val="2D8E403A"/>
    <w:rsid w:val="2E0770FA"/>
    <w:rsid w:val="2E145F76"/>
    <w:rsid w:val="2E794887"/>
    <w:rsid w:val="2EA86D09"/>
    <w:rsid w:val="2F32226B"/>
    <w:rsid w:val="2F376D10"/>
    <w:rsid w:val="2FA231C5"/>
    <w:rsid w:val="3005182A"/>
    <w:rsid w:val="30582389"/>
    <w:rsid w:val="308B65F2"/>
    <w:rsid w:val="3105629B"/>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7705F34"/>
    <w:rsid w:val="377700B0"/>
    <w:rsid w:val="37846083"/>
    <w:rsid w:val="37915301"/>
    <w:rsid w:val="37AF7036"/>
    <w:rsid w:val="37E00E7E"/>
    <w:rsid w:val="37E726D4"/>
    <w:rsid w:val="380927B5"/>
    <w:rsid w:val="3876150B"/>
    <w:rsid w:val="392739EA"/>
    <w:rsid w:val="392D38AD"/>
    <w:rsid w:val="3946679B"/>
    <w:rsid w:val="399A43EA"/>
    <w:rsid w:val="39AF2187"/>
    <w:rsid w:val="3A0F1960"/>
    <w:rsid w:val="3A166029"/>
    <w:rsid w:val="3A364B42"/>
    <w:rsid w:val="3AF216E5"/>
    <w:rsid w:val="3B30671A"/>
    <w:rsid w:val="3B5662AC"/>
    <w:rsid w:val="3BA205A3"/>
    <w:rsid w:val="3C020C60"/>
    <w:rsid w:val="3C727D51"/>
    <w:rsid w:val="3C802C1E"/>
    <w:rsid w:val="3CCE203C"/>
    <w:rsid w:val="3D0C1655"/>
    <w:rsid w:val="3D4E48C8"/>
    <w:rsid w:val="3D77737D"/>
    <w:rsid w:val="3DB81487"/>
    <w:rsid w:val="3DC04E13"/>
    <w:rsid w:val="3DD244E7"/>
    <w:rsid w:val="3E1907C2"/>
    <w:rsid w:val="3E5B41D6"/>
    <w:rsid w:val="3ECE16FA"/>
    <w:rsid w:val="3F072EB0"/>
    <w:rsid w:val="3FF55768"/>
    <w:rsid w:val="40566CBF"/>
    <w:rsid w:val="405B0BEF"/>
    <w:rsid w:val="407921CE"/>
    <w:rsid w:val="40C04FE0"/>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707FDB"/>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8E1BE9"/>
    <w:rsid w:val="4D9E609E"/>
    <w:rsid w:val="4E0243C8"/>
    <w:rsid w:val="4EA61F19"/>
    <w:rsid w:val="4EB053BD"/>
    <w:rsid w:val="4EF8450A"/>
    <w:rsid w:val="4F150B2F"/>
    <w:rsid w:val="4F775423"/>
    <w:rsid w:val="4FBC6FAF"/>
    <w:rsid w:val="4FDC68F3"/>
    <w:rsid w:val="50005DA1"/>
    <w:rsid w:val="502A6272"/>
    <w:rsid w:val="5041435B"/>
    <w:rsid w:val="50564CCA"/>
    <w:rsid w:val="505A1CB0"/>
    <w:rsid w:val="509778C7"/>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AC4862"/>
    <w:rsid w:val="54D53DDB"/>
    <w:rsid w:val="55352F87"/>
    <w:rsid w:val="5553143F"/>
    <w:rsid w:val="55B42DC5"/>
    <w:rsid w:val="55CC7E5B"/>
    <w:rsid w:val="568F7E77"/>
    <w:rsid w:val="56C13DAD"/>
    <w:rsid w:val="56E81135"/>
    <w:rsid w:val="57895FC5"/>
    <w:rsid w:val="584947AF"/>
    <w:rsid w:val="586B2608"/>
    <w:rsid w:val="58E20C36"/>
    <w:rsid w:val="592D7AE2"/>
    <w:rsid w:val="593554F0"/>
    <w:rsid w:val="5A3078C5"/>
    <w:rsid w:val="5AAC4CA7"/>
    <w:rsid w:val="5ACA11F3"/>
    <w:rsid w:val="5ADF3A74"/>
    <w:rsid w:val="5AE53367"/>
    <w:rsid w:val="5B0B0083"/>
    <w:rsid w:val="5BC0364C"/>
    <w:rsid w:val="5BC3228B"/>
    <w:rsid w:val="5C3B1FEA"/>
    <w:rsid w:val="5C6A01BF"/>
    <w:rsid w:val="5CE024D4"/>
    <w:rsid w:val="5CF62A1F"/>
    <w:rsid w:val="5D041ECD"/>
    <w:rsid w:val="5D350598"/>
    <w:rsid w:val="5E2D4C21"/>
    <w:rsid w:val="5EE41E2E"/>
    <w:rsid w:val="5F0F00DA"/>
    <w:rsid w:val="60017F85"/>
    <w:rsid w:val="6045086B"/>
    <w:rsid w:val="60727CA6"/>
    <w:rsid w:val="60745B63"/>
    <w:rsid w:val="61051332"/>
    <w:rsid w:val="613A62EF"/>
    <w:rsid w:val="61FB2024"/>
    <w:rsid w:val="61FD6095"/>
    <w:rsid w:val="62302F88"/>
    <w:rsid w:val="62812953"/>
    <w:rsid w:val="62B7743E"/>
    <w:rsid w:val="63D951AB"/>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B80C9A"/>
    <w:rsid w:val="6AFC6812"/>
    <w:rsid w:val="6B471B37"/>
    <w:rsid w:val="6B5E2EC6"/>
    <w:rsid w:val="6C42065A"/>
    <w:rsid w:val="6C6F44FD"/>
    <w:rsid w:val="6CD4731D"/>
    <w:rsid w:val="6D121910"/>
    <w:rsid w:val="6D3205F0"/>
    <w:rsid w:val="6DB702B4"/>
    <w:rsid w:val="6E504618"/>
    <w:rsid w:val="6EB20078"/>
    <w:rsid w:val="6F5579D7"/>
    <w:rsid w:val="6F801AF8"/>
    <w:rsid w:val="6F8D5AAE"/>
    <w:rsid w:val="6FFF59CB"/>
    <w:rsid w:val="70160759"/>
    <w:rsid w:val="70200B37"/>
    <w:rsid w:val="7037013D"/>
    <w:rsid w:val="704E4A67"/>
    <w:rsid w:val="70995673"/>
    <w:rsid w:val="70AA0AC2"/>
    <w:rsid w:val="70C323F9"/>
    <w:rsid w:val="70EA7511"/>
    <w:rsid w:val="71143E21"/>
    <w:rsid w:val="72867A39"/>
    <w:rsid w:val="72E2440A"/>
    <w:rsid w:val="72EE3608"/>
    <w:rsid w:val="7327462F"/>
    <w:rsid w:val="732F59FD"/>
    <w:rsid w:val="73373876"/>
    <w:rsid w:val="734B5574"/>
    <w:rsid w:val="7355417D"/>
    <w:rsid w:val="736C3FBB"/>
    <w:rsid w:val="73A85DC8"/>
    <w:rsid w:val="73C32C41"/>
    <w:rsid w:val="73C91EB3"/>
    <w:rsid w:val="74573DE9"/>
    <w:rsid w:val="749638EE"/>
    <w:rsid w:val="749900DE"/>
    <w:rsid w:val="749E6443"/>
    <w:rsid w:val="74D53B99"/>
    <w:rsid w:val="754C1AAF"/>
    <w:rsid w:val="76991F3B"/>
    <w:rsid w:val="76D8737F"/>
    <w:rsid w:val="76E279D7"/>
    <w:rsid w:val="772E0626"/>
    <w:rsid w:val="7752184A"/>
    <w:rsid w:val="7754709D"/>
    <w:rsid w:val="776E285A"/>
    <w:rsid w:val="779E3171"/>
    <w:rsid w:val="77B02D8D"/>
    <w:rsid w:val="77C0093D"/>
    <w:rsid w:val="77C90B9C"/>
    <w:rsid w:val="77F06999"/>
    <w:rsid w:val="78384CBC"/>
    <w:rsid w:val="784258BF"/>
    <w:rsid w:val="793758F2"/>
    <w:rsid w:val="79DC6C3F"/>
    <w:rsid w:val="79ED4DBE"/>
    <w:rsid w:val="7A250260"/>
    <w:rsid w:val="7A787ECB"/>
    <w:rsid w:val="7A8B51CB"/>
    <w:rsid w:val="7AB507FA"/>
    <w:rsid w:val="7AC634CB"/>
    <w:rsid w:val="7C3A7105"/>
    <w:rsid w:val="7C41564D"/>
    <w:rsid w:val="7C8E16C9"/>
    <w:rsid w:val="7CB561C0"/>
    <w:rsid w:val="7CCC277F"/>
    <w:rsid w:val="7CE3033A"/>
    <w:rsid w:val="7D0A2590"/>
    <w:rsid w:val="7D182884"/>
    <w:rsid w:val="7D314581"/>
    <w:rsid w:val="7D54493D"/>
    <w:rsid w:val="7D550752"/>
    <w:rsid w:val="7D6A7A29"/>
    <w:rsid w:val="7DCC5A45"/>
    <w:rsid w:val="7E8B6D0C"/>
    <w:rsid w:val="7F285EA4"/>
    <w:rsid w:val="7F400D9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9"/>
    <w:semiHidden/>
    <w:unhideWhenUsed/>
    <w:qFormat/>
    <w:uiPriority w:val="99"/>
    <w:rPr>
      <w:b/>
      <w:bCs/>
    </w:rPr>
  </w:style>
  <w:style w:type="paragraph" w:styleId="7">
    <w:name w:val="annotation text"/>
    <w:basedOn w:val="1"/>
    <w:link w:val="58"/>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9">
    <w:name w:val="FollowedHyperlink"/>
    <w:basedOn w:val="18"/>
    <w:semiHidden/>
    <w:unhideWhenUsed/>
    <w:qFormat/>
    <w:uiPriority w:val="99"/>
    <w:rPr>
      <w:color w:val="954F72" w:themeColor="followedHyperlink"/>
      <w:u w:val="single"/>
      <w14:textFill>
        <w14:solidFill>
          <w14:schemeClr w14:val="folHlink"/>
        </w14:solidFill>
      </w14:textFill>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basedOn w:val="18"/>
    <w:semiHidden/>
    <w:unhideWhenUsed/>
    <w:qFormat/>
    <w:uiPriority w:val="99"/>
    <w:rPr>
      <w:sz w:val="16"/>
      <w:szCs w:val="16"/>
    </w:rPr>
  </w:style>
  <w:style w:type="table" w:styleId="23">
    <w:name w:val="Table Grid"/>
    <w:basedOn w:val="22"/>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Heading 2 Char"/>
    <w:basedOn w:val="18"/>
    <w:link w:val="3"/>
    <w:qFormat/>
    <w:uiPriority w:val="0"/>
    <w:rPr>
      <w:rFonts w:ascii="Arial" w:hAnsi="Arial" w:eastAsia="Times New Roman" w:cs="Times New Roman"/>
      <w:sz w:val="32"/>
      <w:szCs w:val="20"/>
      <w:lang w:val="en-GB"/>
    </w:rPr>
  </w:style>
  <w:style w:type="character" w:customStyle="1" w:styleId="25">
    <w:name w:val="Heading 1 Char"/>
    <w:basedOn w:val="18"/>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8"/>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18"/>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18"/>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18"/>
    <w:semiHidden/>
    <w:unhideWhenUsed/>
    <w:qFormat/>
    <w:uiPriority w:val="99"/>
    <w:rPr>
      <w:color w:val="808080"/>
      <w:shd w:val="clear" w:color="auto" w:fill="E6E6E6"/>
    </w:rPr>
  </w:style>
  <w:style w:type="character" w:customStyle="1" w:styleId="43">
    <w:name w:val="Heading 4 Char"/>
    <w:basedOn w:val="18"/>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18"/>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18"/>
    <w:link w:val="13"/>
    <w:semiHidden/>
    <w:qFormat/>
    <w:locked/>
    <w:uiPriority w:val="0"/>
    <w:rPr>
      <w:rFonts w:ascii="Tms Rmn" w:hAnsi="Tms Rmn"/>
      <w:b/>
      <w:sz w:val="18"/>
    </w:rPr>
  </w:style>
  <w:style w:type="character" w:customStyle="1" w:styleId="54">
    <w:name w:val="Header Char1"/>
    <w:basedOn w:val="18"/>
    <w:semiHidden/>
    <w:qFormat/>
    <w:uiPriority w:val="99"/>
    <w:rPr>
      <w:rFonts w:ascii="Times New Roman" w:hAnsi="Times New Roman"/>
      <w:sz w:val="20"/>
    </w:rPr>
  </w:style>
  <w:style w:type="character" w:customStyle="1" w:styleId="55">
    <w:name w:val="Balloon Text Char"/>
    <w:basedOn w:val="18"/>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18"/>
    <w:link w:val="7"/>
    <w:semiHidden/>
    <w:qFormat/>
    <w:uiPriority w:val="99"/>
    <w:rPr>
      <w:rFonts w:ascii="Times New Roman" w:hAnsi="Times New Roman"/>
      <w:sz w:val="20"/>
      <w:szCs w:val="20"/>
    </w:rPr>
  </w:style>
  <w:style w:type="character" w:customStyle="1" w:styleId="59">
    <w:name w:val="Comment Subject Char"/>
    <w:basedOn w:val="58"/>
    <w:link w:val="6"/>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